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Meio Ambiente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Meio Ambiente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 xml:space="preserve">Coleta de Resíduos </w:t>
      </w: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</w:p>
    <w:p>
      <w:pPr>
        <w:pStyle w:val="5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 xml:space="preserve">Esta operação permite que o usuário visualize </w:t>
      </w:r>
      <w:r>
        <w:rPr>
          <w:rFonts w:hint="default"/>
          <w:lang w:val="pt-BR"/>
        </w:rPr>
        <w:t>a lista de notificações de coleta de resíduos pendentes de registro, podendo assim registrar essas notificações</w:t>
      </w:r>
      <w:r>
        <w:rPr>
          <w:lang w:val="pt-BR"/>
        </w:rPr>
        <w:t>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51"/>
        <w:ind w:left="284" w:right="283" w:firstLine="142"/>
        <w:rPr>
          <w:color w:val="231F20"/>
          <w:lang w:val="pt-BR"/>
        </w:rPr>
      </w:pP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Infraestrutura → Meio Ambiente → Resíduos → Coleta.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284"/>
        <w:jc w:val="both"/>
        <w:rPr>
          <w:lang w:val="pt-BR"/>
        </w:rPr>
      </w:pPr>
      <w:r>
        <w:rPr>
          <w:lang w:val="pt-BR"/>
        </w:rPr>
        <w:t xml:space="preserve">Ao acessar o caminho acima, o sistema exibirá a seguinte tela: </w:t>
      </w:r>
    </w:p>
    <w:p>
      <w:pPr>
        <w:pStyle w:val="5"/>
        <w:spacing w:before="4"/>
        <w:ind w:right="283"/>
        <w:jc w:val="both"/>
        <w:rPr>
          <w:lang w:val="pt-BR"/>
        </w:rPr>
      </w:pPr>
      <w:r>
        <w:rPr>
          <w:lang w:val="pt-BR"/>
        </w:rPr>
        <w:drawing>
          <wp:inline distT="0" distB="0" distL="114300" distR="114300">
            <wp:extent cx="7016750" cy="2528570"/>
            <wp:effectExtent l="0" t="0" r="12700" b="5080"/>
            <wp:docPr id="3" name="Imagem 3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Screenshot-2017-11-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16750" cy="252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/>
        <w:jc w:val="both"/>
        <w:rPr>
          <w:sz w:val="14"/>
          <w:lang w:val="pt-BR"/>
        </w:rPr>
      </w:pPr>
    </w:p>
    <w:p>
      <w:pPr>
        <w:jc w:val="center"/>
        <w:rPr>
          <w:sz w:val="16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Caso desista da operação, clique em </w:t>
      </w:r>
      <w:r>
        <w:rPr>
          <w:rFonts w:hint="default"/>
          <w:b/>
          <w:bCs/>
          <w:sz w:val="24"/>
          <w:szCs w:val="24"/>
          <w:lang w:val="pt-BR" w:eastAsia="pt-BR"/>
        </w:rPr>
        <w:t>Cancelar</w:t>
      </w:r>
      <w:r>
        <w:rPr>
          <w:rFonts w:hint="default"/>
          <w:sz w:val="24"/>
          <w:szCs w:val="24"/>
          <w:lang w:val="pt-BR" w:eastAsia="pt-BR"/>
        </w:rPr>
        <w:t>. O sistema apresentará uma janela para confirmação.</w:t>
      </w:r>
      <w:r>
        <w:rPr>
          <w:rFonts w:hint="default"/>
          <w:sz w:val="24"/>
          <w:szCs w:val="24"/>
          <w:lang w:val="en-US" w:eastAsia="pt-BR"/>
        </w:rPr>
        <w:t xml:space="preserve">  </w:t>
      </w:r>
      <w:bookmarkStart w:id="1" w:name="_GoBack"/>
      <w:r>
        <w:rPr>
          <w:rFonts w:hint="default"/>
          <w:sz w:val="24"/>
          <w:szCs w:val="24"/>
          <w:lang w:val="en-US" w:eastAsia="pt-BR"/>
        </w:rPr>
        <w:t>Esta operação será válida para todas as telas que apresentarem esta função.</w:t>
      </w:r>
      <w:bookmarkEnd w:id="1"/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voltar para o menu principal do módulo Infraestrutura, clique no link </w:t>
      </w:r>
      <w:r>
        <w:rPr>
          <w:rFonts w:hint="default"/>
          <w:b/>
          <w:bCs/>
          <w:sz w:val="24"/>
          <w:szCs w:val="24"/>
          <w:lang w:val="en-US" w:eastAsia="pt-BR"/>
        </w:rPr>
        <w:t>Sup. Infra Estrutura</w:t>
      </w:r>
      <w:r>
        <w:rPr>
          <w:rFonts w:hint="default"/>
          <w:sz w:val="24"/>
          <w:szCs w:val="24"/>
          <w:lang w:val="pt-BR" w:eastAsia="pt-BR"/>
        </w:rPr>
        <w:t>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Na tela exibida acima, o sistema lista</w:t>
      </w:r>
      <w:r>
        <w:rPr>
          <w:rFonts w:hint="default"/>
          <w:sz w:val="24"/>
          <w:szCs w:val="24"/>
          <w:lang w:val="en-US" w:eastAsia="pt-BR"/>
        </w:rPr>
        <w:t>rá</w:t>
      </w:r>
      <w:r>
        <w:rPr>
          <w:rFonts w:hint="default"/>
          <w:sz w:val="24"/>
          <w:szCs w:val="24"/>
          <w:lang w:val="pt-BR" w:eastAsia="pt-BR"/>
        </w:rPr>
        <w:t xml:space="preserve"> automaticamente as notificações de coleta de resíduos pendentes de registro. O usuário poderá fornecer os seguintes critérios para refinar a busca de notificações de coleta: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Nº. do Rótulo:</w:t>
      </w:r>
      <w:r>
        <w:rPr>
          <w:rFonts w:hint="default"/>
          <w:sz w:val="24"/>
          <w:szCs w:val="24"/>
          <w:lang w:val="pt-BR" w:eastAsia="pt-BR"/>
        </w:rPr>
        <w:t xml:space="preserve"> Forneça o número do rótulo do resíduo que deseja buscar</w:t>
      </w:r>
      <w:r>
        <w:rPr>
          <w:rFonts w:eastAsia="Times New Roman" w:cs="Times New Roman"/>
          <w:iCs/>
          <w:sz w:val="24"/>
          <w:szCs w:val="24"/>
          <w:lang w:val="pt-BR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PH: </w:t>
      </w:r>
      <w:r>
        <w:rPr>
          <w:rFonts w:hint="default"/>
          <w:sz w:val="24"/>
          <w:szCs w:val="24"/>
          <w:lang w:val="pt-BR" w:eastAsia="pt-BR"/>
        </w:rPr>
        <w:t>Informe o PH (potencial hidrogeniônico) do resíduo referente a busca. O PH indica a acidez, neutralidade ou alcalinidade de uma solução aquosa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>Classificação de Prioridade:</w:t>
      </w:r>
      <w:r>
        <w:rPr>
          <w:rFonts w:hint="default"/>
          <w:sz w:val="24"/>
          <w:szCs w:val="24"/>
          <w:lang w:val="pt-BR" w:eastAsia="pt-BR"/>
        </w:rPr>
        <w:t xml:space="preserve"> Selecione a classificação de prioridade referente a busca</w:t>
      </w:r>
      <w:r>
        <w:rPr>
          <w:rFonts w:hint="default"/>
          <w:sz w:val="24"/>
          <w:szCs w:val="24"/>
          <w:lang w:val="en-US" w:eastAsia="pt-BR"/>
        </w:rPr>
        <w:t>;</w:t>
      </w:r>
    </w:p>
    <w:p>
      <w:pPr>
        <w:widowControl/>
        <w:numPr>
          <w:ilvl w:val="0"/>
          <w:numId w:val="1"/>
        </w:numPr>
        <w:tabs>
          <w:tab w:val="left" w:pos="567"/>
          <w:tab w:val="left" w:pos="720"/>
        </w:tabs>
        <w:spacing w:after="120"/>
        <w:ind w:left="567" w:hanging="210"/>
        <w:jc w:val="both"/>
        <w:rPr>
          <w:rFonts w:eastAsia="Times New Roman" w:cs="Times New Roman"/>
          <w:iCs/>
          <w:sz w:val="24"/>
          <w:szCs w:val="24"/>
          <w:lang w:val="pt-BR" w:eastAsia="pt-BR"/>
        </w:rPr>
      </w:pPr>
      <w:r>
        <w:rPr>
          <w:rFonts w:hint="default"/>
          <w:i/>
          <w:iCs/>
          <w:sz w:val="24"/>
          <w:szCs w:val="24"/>
          <w:lang w:val="pt-BR" w:eastAsia="pt-BR"/>
        </w:rPr>
        <w:t xml:space="preserve">Composto/Substância: </w:t>
      </w:r>
      <w:r>
        <w:rPr>
          <w:rFonts w:hint="default"/>
          <w:sz w:val="24"/>
          <w:szCs w:val="24"/>
          <w:lang w:val="pt-BR" w:eastAsia="pt-BR"/>
        </w:rPr>
        <w:t>Informe o nome do composto ou substância do resíduo referente a solicitação de coleta. Ao inserir as letras iniciais do nome, o sistema exibirá uma lista automática de nomes para facilitar a busca do usuário</w:t>
      </w:r>
      <w:r>
        <w:rPr>
          <w:rFonts w:hint="default"/>
          <w:sz w:val="24"/>
          <w:szCs w:val="24"/>
          <w:lang w:val="en-US" w:eastAsia="pt-BR"/>
        </w:rPr>
        <w:t>.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em </w:t>
      </w:r>
      <w:r>
        <w:rPr>
          <w:rFonts w:hint="default"/>
          <w:b/>
          <w:bCs/>
          <w:sz w:val="24"/>
          <w:szCs w:val="24"/>
          <w:lang w:val="pt-BR" w:eastAsia="pt-BR"/>
        </w:rPr>
        <w:t>Consultar </w:t>
      </w:r>
      <w:r>
        <w:rPr>
          <w:rFonts w:hint="default"/>
          <w:sz w:val="24"/>
          <w:szCs w:val="24"/>
          <w:lang w:val="pt-BR" w:eastAsia="pt-BR"/>
        </w:rPr>
        <w:t xml:space="preserve">para realizar a busca. 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Clique no ícone </w:t>
      </w:r>
      <w:r>
        <w:rPr>
          <w:rFonts w:hint="eastAsia" w:ascii="Century Gothic" w:hAnsi="Century Gothic" w:eastAsia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33350" cy="133350"/>
            <wp:effectExtent l="0" t="0" r="0" b="0"/>
            <wp:docPr id="13" name="Imagem 13" descr="icon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m 13" descr="icone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pt-BR" w:eastAsia="pt-BR"/>
        </w:rPr>
        <w:t> para registrar a coleta. O sistema exibirá a seguinte tela: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7016750" cy="3027680"/>
            <wp:effectExtent l="0" t="0" r="12700" b="1270"/>
            <wp:docPr id="17" name="Imagem 17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 descr="Screenshot-2017-11-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016750" cy="302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t>Para confirmar a operação, o usuário deverá clicar em </w:t>
      </w:r>
      <w:r>
        <w:rPr>
          <w:rFonts w:hint="default"/>
          <w:b/>
          <w:bCs/>
          <w:sz w:val="24"/>
          <w:szCs w:val="24"/>
          <w:lang w:val="pt-BR" w:eastAsia="pt-BR"/>
        </w:rPr>
        <w:t>Registrar Coleta</w:t>
      </w:r>
      <w:r>
        <w:rPr>
          <w:rFonts w:hint="default"/>
          <w:sz w:val="24"/>
          <w:szCs w:val="24"/>
          <w:lang w:val="pt-BR" w:eastAsia="pt-BR"/>
        </w:rPr>
        <w:t>. A seguinte mensagem de sucesso será exibida pelo sistema:</w:t>
      </w: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</w:p>
    <w:p>
      <w:pPr>
        <w:jc w:val="center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4504690" cy="361950"/>
            <wp:effectExtent l="0" t="0" r="10160" b="0"/>
            <wp:docPr id="18" name="Imagem 18" descr="Screenshot-2017-11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m 18" descr="Screenshot-2017-11-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0469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lang w:val="pt-BR" w:eastAsia="pt-BR"/>
        </w:rPr>
      </w:pPr>
    </w:p>
    <w:p>
      <w:pPr>
        <w:ind w:firstLine="284"/>
        <w:jc w:val="center"/>
        <w:rPr>
          <w:lang w:val="pt-BR" w:eastAsia="pt-BR"/>
        </w:rPr>
      </w:pPr>
    </w:p>
    <w:p>
      <w:pPr>
        <w:jc w:val="center"/>
        <w:rPr>
          <w:lang w:val="pt-BR" w:eastAsia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decorative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decorative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roma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roma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moder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moder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438116">
    <w:nsid w:val="011957E4"/>
    <w:multiLevelType w:val="multilevel"/>
    <w:tmpl w:val="011957E4"/>
    <w:lvl w:ilvl="0" w:tentative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olor w:val="BFBFBF" w:themeColor="background1" w:themeShade="BF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84381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7C3354C"/>
    <w:rsid w:val="0D0A3D73"/>
    <w:rsid w:val="234C6B76"/>
    <w:rsid w:val="23C977C5"/>
    <w:rsid w:val="29876390"/>
    <w:rsid w:val="2CA420BC"/>
    <w:rsid w:val="30B360F4"/>
    <w:rsid w:val="36CD2176"/>
    <w:rsid w:val="5CB134FB"/>
    <w:rsid w:val="5DA3626A"/>
    <w:rsid w:val="6AD547B0"/>
    <w:rsid w:val="7C913F6E"/>
    <w:rsid w:val="7F1F4CB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Office_10.1.0.5671_F1E327BC-269C-435d-A152-05C5408002CA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Julia Martins</cp:lastModifiedBy>
  <dcterms:modified xsi:type="dcterms:W3CDTF">2017-11-17T13:59:02Z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